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D0" w:rsidRDefault="00A579D0" w:rsidP="00A579D0">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w:t>
      </w:r>
      <w:r w:rsidRPr="0007653D">
        <w:rPr>
          <w:rFonts w:ascii="Palatino Linotype" w:hAnsi="Palatino Linotype" w:cs="Arial"/>
          <w:b/>
        </w:rPr>
        <w:t xml:space="preserve">SESIÓN ORDINARIA DE </w:t>
      </w:r>
      <w:r>
        <w:rPr>
          <w:rFonts w:ascii="Palatino Linotype" w:hAnsi="Palatino Linotype" w:cs="Arial"/>
          <w:b/>
        </w:rPr>
        <w:t>TREINTA Y UNO DE OCTUBRE DE DOS MIL DIECIOCHO, EN LOS R</w:t>
      </w:r>
      <w:r w:rsidRPr="0007653D">
        <w:rPr>
          <w:rFonts w:ascii="Palatino Linotype" w:hAnsi="Palatino Linotype" w:cs="Arial"/>
          <w:b/>
        </w:rPr>
        <w:t>ECURSO</w:t>
      </w:r>
      <w:r>
        <w:rPr>
          <w:rFonts w:ascii="Palatino Linotype" w:hAnsi="Palatino Linotype" w:cs="Arial"/>
          <w:b/>
        </w:rPr>
        <w:t>S</w:t>
      </w:r>
      <w:r w:rsidRPr="0007653D">
        <w:rPr>
          <w:rFonts w:ascii="Palatino Linotype" w:hAnsi="Palatino Linotype" w:cs="Arial"/>
          <w:b/>
        </w:rPr>
        <w:t xml:space="preserve"> DE REVISIÓN </w:t>
      </w:r>
      <w:r>
        <w:rPr>
          <w:rFonts w:ascii="Palatino Linotype" w:hAnsi="Palatino Linotype" w:cs="Arial"/>
          <w:b/>
        </w:rPr>
        <w:t xml:space="preserve">ACUMULADOS </w:t>
      </w:r>
      <w:r w:rsidRPr="00A579D0">
        <w:rPr>
          <w:rFonts w:ascii="Palatino Linotype" w:hAnsi="Palatino Linotype" w:cs="Arial"/>
          <w:b/>
          <w:bCs/>
          <w:spacing w:val="-20"/>
        </w:rPr>
        <w:t>03303/INFOEM/IP/RR/2018, 03304/INFOEM/IP/RR/2018, 03305/INFOEM/IP/RR/2018, 03306/INFOEM/IP/RR/2018, 03307/INFOEM/IP/RR/2018, 03308/INFOEM/IP/RR/2018, 03309/INFOEM/IP/RR/2018, 03310/INFOEM/IP/RR/2018, 03311/INFOEM/IP/RR/2018, 03312/INFOEM/IP/RR/2018, 03313/INFOEM/IP/RR/2018 Y 03314/INFOEM/IP/RR/2018.</w:t>
      </w:r>
    </w:p>
    <w:p w:rsidR="00A579D0" w:rsidRDefault="00A579D0" w:rsidP="00A579D0">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los</w:t>
      </w:r>
      <w:r w:rsidRPr="00E42755">
        <w:rPr>
          <w:rFonts w:ascii="Palatino Linotype" w:hAnsi="Palatino Linotype" w:cs="Arial"/>
        </w:rPr>
        <w:t xml:space="preserve"> recurso</w:t>
      </w:r>
      <w:r>
        <w:rPr>
          <w:rFonts w:ascii="Palatino Linotype" w:hAnsi="Palatino Linotype" w:cs="Arial"/>
        </w:rPr>
        <w:t xml:space="preserve">s </w:t>
      </w:r>
      <w:r w:rsidRPr="00E42755">
        <w:rPr>
          <w:rFonts w:ascii="Palatino Linotype" w:hAnsi="Palatino Linotype" w:cs="Arial"/>
        </w:rPr>
        <w:t xml:space="preserve">de revisión </w:t>
      </w:r>
      <w:r w:rsidRPr="00A579D0">
        <w:rPr>
          <w:rFonts w:ascii="Palatino Linotype" w:hAnsi="Palatino Linotype" w:cs="Arial"/>
          <w:b/>
          <w:bCs/>
          <w:spacing w:val="-20"/>
        </w:rPr>
        <w:t xml:space="preserve">03303/INFOEM/IP/RR/2018, 03304/INFOEM/IP/RR/2018, 03305/INFOEM/IP/RR/2018, 03306/INFOEM/IP/RR/2018, 03307/INFOEM/IP/RR/2018, 03308/INFOEM/IP/RR/2018, 03309/INFOEM/IP/RR/2018, 03310/INFOEM/IP/RR/2018, 03311/INFOEM/IP/RR/2018, 03312/INFOEM/IP/RR/2018, 03313/INFOEM/IP/RR/2018 </w:t>
      </w:r>
      <w:r w:rsidRPr="00A579D0">
        <w:rPr>
          <w:rFonts w:ascii="Palatino Linotype" w:hAnsi="Palatino Linotype" w:cs="Arial"/>
          <w:bCs/>
          <w:spacing w:val="-20"/>
        </w:rPr>
        <w:t>y</w:t>
      </w:r>
      <w:r w:rsidRPr="00A579D0">
        <w:rPr>
          <w:rFonts w:ascii="Palatino Linotype" w:hAnsi="Palatino Linotype" w:cs="Arial"/>
          <w:b/>
          <w:bCs/>
          <w:spacing w:val="-20"/>
        </w:rPr>
        <w:t xml:space="preserve"> 03314/INFOEM/IP/RR/2018</w:t>
      </w:r>
      <w:r>
        <w:rPr>
          <w:rFonts w:ascii="Palatino Linotype" w:eastAsia="Calibri" w:hAnsi="Palatino Linotype" w:cs="Arial"/>
          <w:b/>
          <w:color w:val="000000"/>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 xml:space="preserve">el </w:t>
      </w:r>
      <w:r w:rsidRPr="00E42755">
        <w:rPr>
          <w:rFonts w:ascii="Palatino Linotype" w:hAnsi="Palatino Linotype" w:cs="Arial"/>
        </w:rPr>
        <w:t>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A579D0" w:rsidRDefault="00A579D0" w:rsidP="00A579D0">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lastRenderedPageBreak/>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 los recursos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su entrega</w:t>
      </w:r>
      <w:r w:rsidRPr="00D93A88">
        <w:rPr>
          <w:rFonts w:ascii="Palatino Linotype" w:hAnsi="Palatino Linotype"/>
        </w:rPr>
        <w:t>.</w:t>
      </w:r>
    </w:p>
    <w:p w:rsidR="00A579D0" w:rsidRPr="00A579D0" w:rsidRDefault="00A579D0" w:rsidP="00A579D0">
      <w:pPr>
        <w:spacing w:before="100" w:beforeAutospacing="1" w:after="100" w:afterAutospacing="1" w:line="360" w:lineRule="auto"/>
        <w:ind w:right="49"/>
        <w:jc w:val="both"/>
        <w:rPr>
          <w:rFonts w:ascii="Palatino Linotype" w:hAnsi="Palatino Linotype"/>
          <w:b/>
        </w:rPr>
      </w:pPr>
      <w:r>
        <w:rPr>
          <w:rFonts w:ascii="Palatino Linotype" w:hAnsi="Palatino Linotype"/>
        </w:rPr>
        <w:t>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 xml:space="preserve">requirió </w:t>
      </w:r>
      <w:r w:rsidR="00F16298">
        <w:rPr>
          <w:rFonts w:ascii="Palatino Linotype" w:hAnsi="Palatino Linotype"/>
        </w:rPr>
        <w:t xml:space="preserve">esencialmente </w:t>
      </w:r>
      <w:r>
        <w:rPr>
          <w:rFonts w:ascii="Palatino Linotype" w:hAnsi="Palatino Linotype"/>
        </w:rPr>
        <w:t xml:space="preserve">de la </w:t>
      </w:r>
      <w:r w:rsidRPr="009A66DF">
        <w:rPr>
          <w:rFonts w:ascii="Palatino Linotype" w:hAnsi="Palatino Linotype" w:cs="Arial"/>
          <w:b/>
        </w:rPr>
        <w:t>Universidad Politécnica del Valle de Toluca</w:t>
      </w:r>
      <w:r>
        <w:rPr>
          <w:rFonts w:ascii="Palatino Linotype" w:hAnsi="Palatino Linotype"/>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 xml:space="preserve">, </w:t>
      </w:r>
      <w:r w:rsidR="00EE6F7C">
        <w:rPr>
          <w:rFonts w:ascii="Palatino Linotype" w:hAnsi="Palatino Linotype"/>
        </w:rPr>
        <w:t>la</w:t>
      </w:r>
      <w:r w:rsidRPr="004821E3">
        <w:rPr>
          <w:rFonts w:ascii="Palatino Linotype" w:eastAsia="Calibri" w:hAnsi="Palatino Linotype" w:cs="Arial"/>
        </w:rPr>
        <w:t xml:space="preserve"> entrega</w:t>
      </w:r>
      <w:r w:rsidR="00EE6F7C">
        <w:rPr>
          <w:rFonts w:ascii="Palatino Linotype" w:eastAsia="Calibri" w:hAnsi="Palatino Linotype" w:cs="Arial"/>
        </w:rPr>
        <w:t xml:space="preserve"> de la </w:t>
      </w:r>
      <w:r w:rsidRPr="004821E3">
        <w:rPr>
          <w:rFonts w:ascii="Palatino Linotype" w:eastAsia="Calibri" w:hAnsi="Palatino Linotype" w:cs="Arial"/>
        </w:rPr>
        <w:t>información relativa a</w:t>
      </w:r>
      <w:r>
        <w:rPr>
          <w:rFonts w:ascii="Palatino Linotype" w:eastAsia="Calibri" w:hAnsi="Palatino Linotype" w:cs="Arial"/>
        </w:rPr>
        <w:t>l</w:t>
      </w:r>
      <w:r w:rsidRPr="004821E3">
        <w:rPr>
          <w:rFonts w:ascii="Palatino Linotype" w:eastAsia="Calibri" w:hAnsi="Palatino Linotype" w:cs="Arial"/>
        </w:rPr>
        <w:t xml:space="preserve"> </w:t>
      </w:r>
      <w:r>
        <w:rPr>
          <w:rFonts w:ascii="Palatino Linotype" w:eastAsia="Calibri" w:hAnsi="Palatino Linotype" w:cs="Arial"/>
        </w:rPr>
        <w:t>formato, oficio o documento dirigido al servidor público o correspondiente para la asignación de equipo de cómputo, así como el acuse o documento que aval</w:t>
      </w:r>
      <w:r w:rsidR="00EE6F7C">
        <w:rPr>
          <w:rFonts w:ascii="Palatino Linotype" w:eastAsia="Calibri" w:hAnsi="Palatino Linotype" w:cs="Arial"/>
        </w:rPr>
        <w:t>ara</w:t>
      </w:r>
      <w:r>
        <w:rPr>
          <w:rFonts w:ascii="Palatino Linotype" w:eastAsia="Calibri" w:hAnsi="Palatino Linotype" w:cs="Arial"/>
        </w:rPr>
        <w:t xml:space="preserve"> la recepción del equipo por el servidor público</w:t>
      </w:r>
      <w:r w:rsidRPr="004821E3">
        <w:rPr>
          <w:rFonts w:ascii="Palatino Linotype" w:eastAsia="Calibri" w:hAnsi="Palatino Linotype" w:cs="Arial"/>
        </w:rPr>
        <w:t xml:space="preserve"> </w:t>
      </w:r>
      <w:r>
        <w:rPr>
          <w:rFonts w:ascii="Palatino Linotype" w:eastAsia="Calibri" w:hAnsi="Palatino Linotype" w:cs="Arial"/>
        </w:rPr>
        <w:t xml:space="preserve">del periodo comprendido del año 2007 a la fecha en que se presentó la solicitud de acceso a la información, es decir, </w:t>
      </w:r>
      <w:r w:rsidR="00F16298">
        <w:rPr>
          <w:rFonts w:ascii="Palatino Linotype" w:eastAsia="Calibri" w:hAnsi="Palatino Linotype" w:cs="Arial"/>
        </w:rPr>
        <w:t xml:space="preserve">al 6 de </w:t>
      </w:r>
      <w:r>
        <w:rPr>
          <w:rFonts w:ascii="Palatino Linotype" w:eastAsia="Calibri" w:hAnsi="Palatino Linotype" w:cs="Arial"/>
        </w:rPr>
        <w:t>agosto de 2018.</w:t>
      </w:r>
    </w:p>
    <w:p w:rsidR="00165B9C" w:rsidRPr="00165B9C" w:rsidRDefault="00A579D0" w:rsidP="00A579D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Del expediente electrónico del </w:t>
      </w:r>
      <w:r w:rsidRPr="00696DC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sidRPr="00CC61E2">
        <w:rPr>
          <w:rFonts w:ascii="Palatino Linotype" w:hAnsi="Palatino Linotype" w:cs="Arial"/>
        </w:rPr>
        <w:t>,</w:t>
      </w:r>
      <w:r>
        <w:rPr>
          <w:rFonts w:ascii="Palatino Linotype" w:hAnsi="Palatino Linotype" w:cs="Arial"/>
          <w:b/>
        </w:rPr>
        <w:t xml:space="preserve"> </w:t>
      </w:r>
      <w:r>
        <w:rPr>
          <w:rFonts w:ascii="Palatino Linotype" w:hAnsi="Palatino Linotype" w:cs="Arial"/>
        </w:rPr>
        <w:t xml:space="preserve">se puede apreciar que </w:t>
      </w:r>
      <w:r w:rsidRPr="00B57FE6">
        <w:rPr>
          <w:rFonts w:ascii="Palatino Linotype" w:hAnsi="Palatino Linotype" w:cs="Arial"/>
          <w:b/>
        </w:rPr>
        <w:t>EL SUJETO OBLIGADO</w:t>
      </w:r>
      <w:r w:rsidRPr="00AD7F4F">
        <w:rPr>
          <w:rFonts w:ascii="Palatino Linotype" w:hAnsi="Palatino Linotype" w:cs="Arial"/>
        </w:rPr>
        <w:t xml:space="preserve"> </w:t>
      </w:r>
      <w:r>
        <w:rPr>
          <w:rFonts w:ascii="Palatino Linotype" w:hAnsi="Palatino Linotype" w:cs="Arial"/>
        </w:rPr>
        <w:t>en</w:t>
      </w:r>
      <w:r w:rsidR="00F16298">
        <w:rPr>
          <w:rFonts w:ascii="Palatino Linotype" w:hAnsi="Palatino Linotype" w:cs="Arial"/>
        </w:rPr>
        <w:t xml:space="preserve"> sus </w:t>
      </w:r>
      <w:r>
        <w:rPr>
          <w:rFonts w:ascii="Palatino Linotype" w:hAnsi="Palatino Linotype" w:cs="Arial"/>
        </w:rPr>
        <w:t>respuesta</w:t>
      </w:r>
      <w:r w:rsidR="00F16298">
        <w:rPr>
          <w:rFonts w:ascii="Palatino Linotype" w:hAnsi="Palatino Linotype" w:cs="Arial"/>
        </w:rPr>
        <w:t>s</w:t>
      </w:r>
      <w:r w:rsidR="00165B9C">
        <w:rPr>
          <w:rFonts w:ascii="Palatino Linotype" w:hAnsi="Palatino Linotype" w:cs="Arial"/>
        </w:rPr>
        <w:t xml:space="preserve"> manifestó que respecto a 2007 no contaba con información mientras que de 2008 a 2018, le refirió que se trataba de 1804 fojas las cuales no están digitalizadas y para poder ser entregadas, debía cubrir la cantidad de $</w:t>
      </w:r>
      <w:r w:rsidR="00165B9C" w:rsidRPr="00FD5F99">
        <w:rPr>
          <w:rFonts w:ascii="Palatino Linotype" w:eastAsia="Calibri" w:hAnsi="Palatino Linotype" w:cs="Arial"/>
        </w:rPr>
        <w:t>1082.40</w:t>
      </w:r>
      <w:r w:rsidR="00165B9C">
        <w:rPr>
          <w:rFonts w:ascii="Palatino Linotype" w:eastAsia="Calibri" w:hAnsi="Palatino Linotype" w:cs="Arial"/>
        </w:rPr>
        <w:t xml:space="preserve"> </w:t>
      </w:r>
      <w:r w:rsidR="00165B9C" w:rsidRPr="00FD5F99">
        <w:rPr>
          <w:rFonts w:ascii="Palatino Linotype" w:eastAsia="Calibri" w:hAnsi="Palatino Linotype" w:cs="Arial"/>
        </w:rPr>
        <w:t>40 (mil oc</w:t>
      </w:r>
      <w:r w:rsidR="00165B9C">
        <w:rPr>
          <w:rFonts w:ascii="Palatino Linotype" w:eastAsia="Calibri" w:hAnsi="Palatino Linotype" w:cs="Arial"/>
        </w:rPr>
        <w:t xml:space="preserve">henta y dos pesos 40/100 M.N), además </w:t>
      </w:r>
      <w:r w:rsidR="00165B9C">
        <w:rPr>
          <w:rFonts w:ascii="Palatino Linotype" w:eastAsia="Calibri" w:hAnsi="Palatino Linotype" w:cs="Arial"/>
          <w:b/>
        </w:rPr>
        <w:t xml:space="preserve">EL SUJETO OBLIGADO </w:t>
      </w:r>
      <w:r w:rsidR="00165B9C">
        <w:rPr>
          <w:rFonts w:ascii="Palatino Linotype" w:eastAsia="Calibri" w:hAnsi="Palatino Linotype" w:cs="Arial"/>
        </w:rPr>
        <w:t xml:space="preserve">le </w:t>
      </w:r>
      <w:r w:rsidR="00EE6F7C">
        <w:rPr>
          <w:rFonts w:ascii="Palatino Linotype" w:eastAsia="Calibri" w:hAnsi="Palatino Linotype" w:cs="Arial"/>
        </w:rPr>
        <w:t>señaló</w:t>
      </w:r>
      <w:r w:rsidR="00165B9C">
        <w:rPr>
          <w:rFonts w:ascii="Palatino Linotype" w:eastAsia="Calibri" w:hAnsi="Palatino Linotype" w:cs="Arial"/>
        </w:rPr>
        <w:t xml:space="preserve"> los pasos a seguir para que pudiera realizar el pago correspondiente en la dirección electrónica </w:t>
      </w:r>
      <w:hyperlink r:id="rId7" w:history="1">
        <w:r w:rsidR="00165B9C" w:rsidRPr="00450DD0">
          <w:rPr>
            <w:rStyle w:val="Hipervnculo"/>
            <w:rFonts w:ascii="Palatino Linotype" w:eastAsia="Calibri" w:hAnsi="Palatino Linotype" w:cs="Arial"/>
          </w:rPr>
          <w:t>https://sfpya.edomexico.gob.mx/recaudacion</w:t>
        </w:r>
      </w:hyperlink>
      <w:r w:rsidR="00165B9C">
        <w:rPr>
          <w:rFonts w:ascii="Palatino Linotype" w:eastAsia="Calibri" w:hAnsi="Palatino Linotype" w:cs="Arial"/>
        </w:rPr>
        <w:t xml:space="preserve">, </w:t>
      </w:r>
      <w:r w:rsidR="00165B9C" w:rsidRPr="00FD5F99">
        <w:rPr>
          <w:rFonts w:ascii="Palatino Linotype" w:eastAsia="Calibri" w:hAnsi="Palatino Linotype" w:cs="Arial"/>
        </w:rPr>
        <w:t>y por últ</w:t>
      </w:r>
      <w:r w:rsidR="00165B9C">
        <w:rPr>
          <w:rFonts w:ascii="Palatino Linotype" w:eastAsia="Calibri" w:hAnsi="Palatino Linotype" w:cs="Arial"/>
        </w:rPr>
        <w:t xml:space="preserve">imo, una vez hecho el pago debía </w:t>
      </w:r>
      <w:r w:rsidR="00165B9C" w:rsidRPr="00FD5F99">
        <w:rPr>
          <w:rFonts w:ascii="Palatino Linotype" w:eastAsia="Calibri" w:hAnsi="Palatino Linotype" w:cs="Arial"/>
        </w:rPr>
        <w:t xml:space="preserve">remitir el comprobante al correo electrónico </w:t>
      </w:r>
      <w:hyperlink r:id="rId8" w:history="1">
        <w:r w:rsidR="00165B9C" w:rsidRPr="00FD5F99">
          <w:rPr>
            <w:rStyle w:val="Hipervnculo"/>
            <w:rFonts w:ascii="Palatino Linotype" w:eastAsia="Calibri" w:hAnsi="Palatino Linotype" w:cs="Arial"/>
          </w:rPr>
          <w:t>upvt.dippye@upvt.edu.mx</w:t>
        </w:r>
      </w:hyperlink>
      <w:r w:rsidR="00165B9C" w:rsidRPr="00FD5F99">
        <w:rPr>
          <w:rFonts w:ascii="Palatino Linotype" w:eastAsia="Calibri" w:hAnsi="Palatino Linotype" w:cs="Arial"/>
        </w:rPr>
        <w:t xml:space="preserve"> para que la información</w:t>
      </w:r>
      <w:r w:rsidR="00165B9C">
        <w:rPr>
          <w:rFonts w:ascii="Palatino Linotype" w:eastAsia="Calibri" w:hAnsi="Palatino Linotype" w:cs="Arial"/>
        </w:rPr>
        <w:t xml:space="preserve"> requerida le fuera</w:t>
      </w:r>
      <w:r w:rsidR="00165B9C" w:rsidRPr="00FD5F99">
        <w:rPr>
          <w:rFonts w:ascii="Palatino Linotype" w:eastAsia="Calibri" w:hAnsi="Palatino Linotype" w:cs="Arial"/>
        </w:rPr>
        <w:t xml:space="preserve"> proporcionada a través del SAIMEX.</w:t>
      </w:r>
    </w:p>
    <w:p w:rsidR="00A579D0" w:rsidRDefault="00A579D0" w:rsidP="00A579D0">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Inconforme con la</w:t>
      </w:r>
      <w:r w:rsidR="00165B9C">
        <w:rPr>
          <w:rFonts w:ascii="Palatino Linotype" w:hAnsi="Palatino Linotype" w:cs="Arial"/>
        </w:rPr>
        <w:t>s</w:t>
      </w:r>
      <w:r>
        <w:rPr>
          <w:rFonts w:ascii="Palatino Linotype" w:hAnsi="Palatino Linotype" w:cs="Arial"/>
        </w:rPr>
        <w:t xml:space="preserve"> respuesta</w:t>
      </w:r>
      <w:r w:rsidR="00165B9C">
        <w:rPr>
          <w:rFonts w:ascii="Palatino Linotype" w:hAnsi="Palatino Linotype" w:cs="Arial"/>
        </w:rPr>
        <w:t>s</w:t>
      </w:r>
      <w:r>
        <w:rPr>
          <w:rFonts w:ascii="Palatino Linotype" w:hAnsi="Palatino Linotype" w:cs="Arial"/>
        </w:rPr>
        <w:t xml:space="preserve">, </w:t>
      </w:r>
      <w:r>
        <w:rPr>
          <w:rFonts w:ascii="Palatino Linotype" w:hAnsi="Palatino Linotype" w:cs="Arial"/>
          <w:b/>
        </w:rPr>
        <w:t xml:space="preserve">EL RECURRENTE </w:t>
      </w:r>
      <w:r w:rsidR="00165B9C">
        <w:rPr>
          <w:rFonts w:ascii="Palatino Linotype" w:hAnsi="Palatino Linotype" w:cs="Arial"/>
        </w:rPr>
        <w:t xml:space="preserve">interpuso los </w:t>
      </w:r>
      <w:r>
        <w:rPr>
          <w:rFonts w:ascii="Palatino Linotype" w:hAnsi="Palatino Linotype" w:cs="Arial"/>
        </w:rPr>
        <w:t>recurso</w:t>
      </w:r>
      <w:r w:rsidR="00165B9C">
        <w:rPr>
          <w:rFonts w:ascii="Palatino Linotype" w:hAnsi="Palatino Linotype" w:cs="Arial"/>
        </w:rPr>
        <w:t>s</w:t>
      </w:r>
      <w:r>
        <w:rPr>
          <w:rFonts w:ascii="Palatino Linotype" w:hAnsi="Palatino Linotype" w:cs="Arial"/>
        </w:rPr>
        <w:t xml:space="preserve"> de r</w:t>
      </w:r>
      <w:r w:rsidR="00165B9C">
        <w:rPr>
          <w:rFonts w:ascii="Palatino Linotype" w:hAnsi="Palatino Linotype" w:cs="Arial"/>
        </w:rPr>
        <w:t>evisión objeto de análisis en los</w:t>
      </w:r>
      <w:r>
        <w:rPr>
          <w:rFonts w:ascii="Palatino Linotype" w:hAnsi="Palatino Linotype" w:cs="Arial"/>
        </w:rPr>
        <w:t xml:space="preserve"> que medularmente manifestó que no se le entregó la información solicitada.</w:t>
      </w:r>
    </w:p>
    <w:p w:rsidR="00165B9C" w:rsidRDefault="00A579D0" w:rsidP="00165B9C">
      <w:pPr>
        <w:spacing w:before="240" w:after="240" w:line="360" w:lineRule="auto"/>
        <w:jc w:val="both"/>
        <w:rPr>
          <w:rFonts w:ascii="Palatino Linotype" w:hAnsi="Palatino Linotype" w:cs="Arial"/>
        </w:rPr>
      </w:pPr>
      <w:r>
        <w:rPr>
          <w:rFonts w:ascii="Palatino Linotype" w:hAnsi="Palatino Linotype" w:cs="Arial"/>
        </w:rPr>
        <w:t xml:space="preserve">Así, la Ponencia Resolutora determinó </w:t>
      </w:r>
      <w:r>
        <w:rPr>
          <w:rFonts w:ascii="Palatino Linotype" w:hAnsi="Palatino Linotype" w:cs="Arial"/>
          <w:b/>
        </w:rPr>
        <w:t xml:space="preserve">REVOCAR </w:t>
      </w:r>
      <w:r>
        <w:rPr>
          <w:rFonts w:ascii="Palatino Linotype" w:hAnsi="Palatino Linotype" w:cs="Arial"/>
        </w:rPr>
        <w:t>la</w:t>
      </w:r>
      <w:r w:rsidR="00165B9C">
        <w:rPr>
          <w:rFonts w:ascii="Palatino Linotype" w:hAnsi="Palatino Linotype" w:cs="Arial"/>
        </w:rPr>
        <w:t>s</w:t>
      </w:r>
      <w:r>
        <w:rPr>
          <w:rFonts w:ascii="Palatino Linotype" w:hAnsi="Palatino Linotype" w:cs="Arial"/>
        </w:rPr>
        <w:t xml:space="preserve"> respuesta</w:t>
      </w:r>
      <w:r w:rsidR="00165B9C">
        <w:rPr>
          <w:rFonts w:ascii="Palatino Linotype" w:hAnsi="Palatino Linotype" w:cs="Arial"/>
        </w:rPr>
        <w:t>s</w:t>
      </w:r>
      <w:r>
        <w:rPr>
          <w:rFonts w:ascii="Palatino Linotype" w:hAnsi="Palatino Linotype" w:cs="Arial"/>
        </w:rPr>
        <w:t xml:space="preserve"> del </w:t>
      </w:r>
      <w:r w:rsidRPr="00242018">
        <w:rPr>
          <w:rFonts w:ascii="Palatino Linotype" w:hAnsi="Palatino Linotype" w:cs="Arial"/>
          <w:b/>
        </w:rPr>
        <w:t>SUJETO OBLIGADO</w:t>
      </w:r>
      <w:r>
        <w:rPr>
          <w:rFonts w:ascii="Palatino Linotype" w:hAnsi="Palatino Linotype" w:cs="Arial"/>
        </w:rPr>
        <w:t xml:space="preserve"> ordenando la entrega vía SAIMEX </w:t>
      </w:r>
      <w:r w:rsidR="00165B9C" w:rsidRPr="009D0271">
        <w:rPr>
          <w:rFonts w:ascii="Palatino Linotype" w:eastAsia="Calibri" w:hAnsi="Palatino Linotype" w:cs="Arial"/>
        </w:rPr>
        <w:t>previa búsqueda exhaustiva y razonable</w:t>
      </w:r>
      <w:r w:rsidR="00165B9C">
        <w:rPr>
          <w:rFonts w:ascii="Palatino Linotype" w:eastAsia="Calibri" w:hAnsi="Palatino Linotype" w:cs="Arial"/>
        </w:rPr>
        <w:t xml:space="preserve"> de la </w:t>
      </w:r>
      <w:r w:rsidR="00165B9C" w:rsidRPr="00165B9C">
        <w:rPr>
          <w:rFonts w:ascii="Palatino Linotype" w:eastAsia="Calibri" w:hAnsi="Palatino Linotype" w:cs="Arial"/>
        </w:rPr>
        <w:t>información, de ser el caso en versión pública</w:t>
      </w:r>
      <w:r w:rsidR="00165B9C">
        <w:rPr>
          <w:rFonts w:ascii="Palatino Linotype" w:eastAsia="Calibri" w:hAnsi="Palatino Linotype" w:cs="Arial"/>
          <w:b/>
        </w:rPr>
        <w:t xml:space="preserve"> </w:t>
      </w:r>
      <w:r w:rsidR="00165B9C">
        <w:rPr>
          <w:rFonts w:ascii="Palatino Linotype" w:hAnsi="Palatino Linotype"/>
        </w:rPr>
        <w:t>lo siguiente</w:t>
      </w:r>
      <w:r w:rsidR="00165B9C">
        <w:rPr>
          <w:rFonts w:ascii="Palatino Linotype" w:hAnsi="Palatino Linotype" w:cs="Arial"/>
        </w:rPr>
        <w:t>:</w:t>
      </w:r>
    </w:p>
    <w:p w:rsidR="00165B9C" w:rsidRPr="00165B9C" w:rsidRDefault="00165B9C" w:rsidP="00165B9C">
      <w:pPr>
        <w:pStyle w:val="Prrafodelista"/>
        <w:numPr>
          <w:ilvl w:val="0"/>
          <w:numId w:val="5"/>
        </w:numPr>
        <w:ind w:left="850" w:right="902" w:hanging="11"/>
        <w:jc w:val="both"/>
        <w:rPr>
          <w:rFonts w:ascii="Palatino Linotype" w:eastAsia="Calibri" w:hAnsi="Palatino Linotype" w:cs="Arial"/>
          <w:i/>
          <w:sz w:val="22"/>
          <w:szCs w:val="22"/>
          <w:lang w:val="es-ES"/>
        </w:rPr>
      </w:pPr>
      <w:r w:rsidRPr="00165B9C">
        <w:rPr>
          <w:rFonts w:ascii="Palatino Linotype" w:hAnsi="Palatino Linotype"/>
          <w:i/>
          <w:sz w:val="22"/>
          <w:szCs w:val="22"/>
          <w:lang w:val="es-MX" w:eastAsia="en-US"/>
        </w:rPr>
        <w:t xml:space="preserve">Tarjetas de resguardo del equipo de cómputo correspondientes </w:t>
      </w:r>
      <w:r w:rsidRPr="00165B9C">
        <w:rPr>
          <w:rFonts w:ascii="Palatino Linotype" w:eastAsia="Calibri" w:hAnsi="Palatino Linotype" w:cs="Arial"/>
          <w:i/>
          <w:sz w:val="22"/>
          <w:szCs w:val="22"/>
          <w:lang w:val="es-ES"/>
        </w:rPr>
        <w:t xml:space="preserve">del uno (01) de enero de 2008 al seis (06) de agosto de 2018; y </w:t>
      </w:r>
    </w:p>
    <w:p w:rsidR="00165B9C" w:rsidRPr="00165B9C" w:rsidRDefault="00165B9C" w:rsidP="00165B9C">
      <w:pPr>
        <w:pStyle w:val="Prrafodelista"/>
        <w:ind w:left="850" w:right="902" w:hanging="11"/>
        <w:jc w:val="both"/>
        <w:rPr>
          <w:rFonts w:ascii="Palatino Linotype" w:eastAsia="Calibri" w:hAnsi="Palatino Linotype" w:cs="Arial"/>
          <w:i/>
          <w:sz w:val="22"/>
          <w:szCs w:val="22"/>
          <w:lang w:val="es-ES"/>
        </w:rPr>
      </w:pPr>
    </w:p>
    <w:p w:rsidR="00165B9C" w:rsidRPr="00165B9C" w:rsidRDefault="00165B9C" w:rsidP="00165B9C">
      <w:pPr>
        <w:pStyle w:val="Prrafodelista"/>
        <w:numPr>
          <w:ilvl w:val="0"/>
          <w:numId w:val="5"/>
        </w:numPr>
        <w:ind w:left="850" w:right="902" w:hanging="11"/>
        <w:jc w:val="both"/>
        <w:rPr>
          <w:rFonts w:ascii="Palatino Linotype" w:eastAsia="Calibri" w:hAnsi="Palatino Linotype" w:cs="Arial"/>
          <w:i/>
          <w:sz w:val="22"/>
          <w:szCs w:val="22"/>
          <w:lang w:val="es-ES"/>
        </w:rPr>
      </w:pPr>
      <w:r w:rsidRPr="00165B9C">
        <w:rPr>
          <w:rFonts w:ascii="Palatino Linotype" w:hAnsi="Palatino Linotype"/>
          <w:b/>
          <w:i/>
          <w:sz w:val="22"/>
          <w:szCs w:val="22"/>
          <w:lang w:val="es-MX" w:eastAsia="en-US"/>
        </w:rPr>
        <w:t>Tarjetas de resguardo del equipo de cómputo o su baja documental correspondientes del uno (01) de enero al treinta y uno (31) de diciembre de 2007</w:t>
      </w:r>
      <w:r w:rsidRPr="00165B9C">
        <w:rPr>
          <w:rFonts w:ascii="Palatino Linotype" w:hAnsi="Palatino Linotype"/>
          <w:i/>
          <w:sz w:val="22"/>
          <w:szCs w:val="22"/>
          <w:lang w:val="es-MX" w:eastAsia="en-US"/>
        </w:rPr>
        <w:t xml:space="preserve">. </w:t>
      </w:r>
    </w:p>
    <w:p w:rsidR="00165B9C" w:rsidRPr="00165B9C" w:rsidRDefault="00165B9C" w:rsidP="00165B9C">
      <w:pPr>
        <w:pStyle w:val="Prrafodelista"/>
        <w:ind w:left="850" w:right="902" w:hanging="11"/>
        <w:rPr>
          <w:rFonts w:ascii="Palatino Linotype" w:eastAsia="Calibri" w:hAnsi="Palatino Linotype" w:cs="Arial"/>
          <w:i/>
          <w:sz w:val="22"/>
          <w:szCs w:val="22"/>
          <w:lang w:val="es-ES"/>
        </w:rPr>
      </w:pPr>
    </w:p>
    <w:p w:rsidR="00165B9C" w:rsidRPr="00165B9C" w:rsidRDefault="00165B9C" w:rsidP="00165B9C">
      <w:pPr>
        <w:ind w:left="850" w:right="902" w:hanging="11"/>
        <w:jc w:val="both"/>
        <w:rPr>
          <w:rFonts w:ascii="Palatino Linotype" w:eastAsia="Calibri" w:hAnsi="Palatino Linotype" w:cs="Arial"/>
          <w:i/>
          <w:sz w:val="22"/>
          <w:szCs w:val="22"/>
        </w:rPr>
      </w:pPr>
      <w:r w:rsidRPr="00165B9C">
        <w:rPr>
          <w:rFonts w:ascii="Palatino Linotype" w:eastAsia="Calibri" w:hAnsi="Palatino Linotype" w:cs="Arial"/>
          <w:i/>
          <w:sz w:val="22"/>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w:t>
      </w:r>
      <w:r>
        <w:rPr>
          <w:rFonts w:ascii="Palatino Linotype" w:eastAsia="Calibri" w:hAnsi="Palatino Linotype" w:cs="Arial"/>
          <w:i/>
          <w:sz w:val="22"/>
          <w:szCs w:val="22"/>
        </w:rPr>
        <w:t>y se ponga a disposición del Recurrente</w:t>
      </w:r>
      <w:r w:rsidRPr="00165B9C">
        <w:rPr>
          <w:rFonts w:ascii="Palatino Linotype" w:eastAsia="Calibri" w:hAnsi="Palatino Linotype" w:cs="Arial"/>
          <w:i/>
          <w:sz w:val="22"/>
          <w:szCs w:val="22"/>
        </w:rPr>
        <w:t xml:space="preserve">. </w:t>
      </w:r>
    </w:p>
    <w:p w:rsidR="00165B9C" w:rsidRPr="00165B9C" w:rsidRDefault="00165B9C" w:rsidP="00165B9C">
      <w:pPr>
        <w:ind w:left="850" w:right="902" w:hanging="11"/>
        <w:jc w:val="both"/>
        <w:rPr>
          <w:rFonts w:ascii="Palatino Linotype" w:eastAsia="Calibri" w:hAnsi="Palatino Linotype" w:cs="Arial"/>
          <w:i/>
          <w:sz w:val="22"/>
          <w:szCs w:val="22"/>
        </w:rPr>
      </w:pPr>
    </w:p>
    <w:p w:rsidR="00165B9C" w:rsidRPr="00165B9C" w:rsidRDefault="00165B9C" w:rsidP="00165B9C">
      <w:pPr>
        <w:pStyle w:val="Prrafodelista"/>
        <w:tabs>
          <w:tab w:val="left" w:pos="851"/>
        </w:tabs>
        <w:ind w:left="850" w:right="902" w:hanging="11"/>
        <w:jc w:val="both"/>
        <w:rPr>
          <w:rFonts w:ascii="Palatino Linotype" w:hAnsi="Palatino Linotype"/>
          <w:i/>
          <w:color w:val="222222"/>
          <w:sz w:val="22"/>
          <w:szCs w:val="22"/>
          <w:shd w:val="clear" w:color="auto" w:fill="FFFFFF"/>
        </w:rPr>
      </w:pPr>
      <w:r w:rsidRPr="00165B9C">
        <w:rPr>
          <w:rFonts w:ascii="Palatino Linotype" w:hAnsi="Palatino Linotype"/>
          <w:i/>
          <w:color w:val="222222"/>
          <w:sz w:val="22"/>
          <w:szCs w:val="22"/>
          <w:shd w:val="clear" w:color="auto" w:fill="FFFFFF"/>
        </w:rPr>
        <w:t>Para el caso de que la información señalada en el inciso b) no sea localizada, el</w:t>
      </w:r>
      <w:r w:rsidRPr="00165B9C">
        <w:rPr>
          <w:rStyle w:val="apple-converted-space"/>
          <w:rFonts w:ascii="Palatino Linotype" w:hAnsi="Palatino Linotype"/>
          <w:i/>
          <w:color w:val="222222"/>
          <w:sz w:val="22"/>
          <w:szCs w:val="22"/>
          <w:shd w:val="clear" w:color="auto" w:fill="FFFFFF"/>
        </w:rPr>
        <w:t> </w:t>
      </w:r>
      <w:r w:rsidRPr="00165B9C">
        <w:rPr>
          <w:rFonts w:ascii="Palatino Linotype" w:hAnsi="Palatino Linotype"/>
          <w:bCs/>
          <w:i/>
          <w:color w:val="222222"/>
          <w:sz w:val="22"/>
          <w:szCs w:val="22"/>
          <w:shd w:val="clear" w:color="auto" w:fill="FFFFFF"/>
        </w:rPr>
        <w:t>SUJETO OBLIGADO</w:t>
      </w:r>
      <w:r w:rsidRPr="00165B9C">
        <w:rPr>
          <w:rStyle w:val="apple-converted-space"/>
          <w:rFonts w:ascii="Palatino Linotype" w:hAnsi="Palatino Linotype"/>
          <w:i/>
          <w:color w:val="222222"/>
          <w:sz w:val="22"/>
          <w:szCs w:val="22"/>
          <w:shd w:val="clear" w:color="auto" w:fill="FFFFFF"/>
        </w:rPr>
        <w:t> </w:t>
      </w:r>
      <w:r w:rsidRPr="00165B9C">
        <w:rPr>
          <w:rFonts w:ascii="Palatino Linotype" w:hAnsi="Palatino Linotype"/>
          <w:i/>
          <w:color w:val="222222"/>
          <w:sz w:val="22"/>
          <w:szCs w:val="22"/>
          <w:shd w:val="clear" w:color="auto" w:fill="FFFFFF"/>
        </w:rPr>
        <w:t>deberá emitir el Acuerdo que sustente la declaratoria de inexistencia, en el que se expliquen las razones de por qué no se cuenta con la información, de manera fundada y motivada.</w:t>
      </w:r>
    </w:p>
    <w:p w:rsidR="00580DE2" w:rsidRDefault="00A579D0" w:rsidP="00A579D0">
      <w:pPr>
        <w:spacing w:before="100" w:beforeAutospacing="1" w:after="100" w:afterAutospacing="1" w:line="360" w:lineRule="auto"/>
        <w:ind w:right="49"/>
        <w:jc w:val="both"/>
        <w:rPr>
          <w:rFonts w:ascii="Palatino Linotype" w:hAnsi="Palatino Linotype"/>
        </w:rPr>
      </w:pPr>
      <w:r w:rsidRPr="004F3DBF">
        <w:rPr>
          <w:rFonts w:ascii="Palatino Linotype" w:hAnsi="Palatino Linotype" w:cs="Arial"/>
          <w:lang w:val="es-MX"/>
        </w:rPr>
        <w:t xml:space="preserve">En ese sentido, </w:t>
      </w:r>
      <w:r>
        <w:rPr>
          <w:rFonts w:ascii="Palatino Linotype" w:hAnsi="Palatino Linotype" w:cs="Arial"/>
          <w:lang w:val="es-MX"/>
        </w:rPr>
        <w:t>se reitera que la suscrita coincide con las causas que dieron origen a</w:t>
      </w:r>
      <w:r w:rsidR="00165B9C">
        <w:rPr>
          <w:rFonts w:ascii="Palatino Linotype" w:hAnsi="Palatino Linotype" w:cs="Arial"/>
          <w:lang w:val="es-MX"/>
        </w:rPr>
        <w:t xml:space="preserve"> </w:t>
      </w:r>
      <w:r>
        <w:rPr>
          <w:rFonts w:ascii="Palatino Linotype" w:hAnsi="Palatino Linotype" w:cs="Arial"/>
          <w:lang w:val="es-MX"/>
        </w:rPr>
        <w:t>l</w:t>
      </w:r>
      <w:r w:rsidR="00165B9C">
        <w:rPr>
          <w:rFonts w:ascii="Palatino Linotype" w:hAnsi="Palatino Linotype" w:cs="Arial"/>
          <w:lang w:val="es-MX"/>
        </w:rPr>
        <w:t>os</w:t>
      </w:r>
      <w:r>
        <w:rPr>
          <w:rFonts w:ascii="Palatino Linotype" w:hAnsi="Palatino Linotype" w:cs="Arial"/>
          <w:lang w:val="es-MX"/>
        </w:rPr>
        <w:t xml:space="preserve"> recurso</w:t>
      </w:r>
      <w:r w:rsidR="00165B9C">
        <w:rPr>
          <w:rFonts w:ascii="Palatino Linotype" w:hAnsi="Palatino Linotype" w:cs="Arial"/>
          <w:lang w:val="es-MX"/>
        </w:rPr>
        <w:t>s</w:t>
      </w:r>
      <w:r>
        <w:rPr>
          <w:rFonts w:ascii="Palatino Linotype" w:hAnsi="Palatino Linotype" w:cs="Arial"/>
          <w:lang w:val="es-MX"/>
        </w:rPr>
        <w:t xml:space="preserve"> de revisión de mérito; sin embargo</w:t>
      </w:r>
      <w:r w:rsidRPr="004F3DBF">
        <w:rPr>
          <w:rFonts w:ascii="Palatino Linotype" w:hAnsi="Palatino Linotype" w:cs="Arial"/>
          <w:lang w:val="es-MX"/>
        </w:rPr>
        <w:t xml:space="preserve">, </w:t>
      </w:r>
      <w:r>
        <w:rPr>
          <w:rFonts w:ascii="Palatino Linotype" w:hAnsi="Palatino Linotype" w:cs="Arial"/>
          <w:lang w:val="es-MX"/>
        </w:rPr>
        <w:t xml:space="preserve">considero que para el caso de la información marcada con el inciso b), debió ordenarse tanto la baja documental como el Acuerdo de Inexistencia de la información para el caso de que la misma no obrara </w:t>
      </w:r>
      <w:r>
        <w:rPr>
          <w:rFonts w:ascii="Palatino Linotype" w:hAnsi="Palatino Linotype" w:cs="Arial"/>
          <w:lang w:val="es-MX"/>
        </w:rPr>
        <w:lastRenderedPageBreak/>
        <w:t xml:space="preserve">dentro de los archivos del </w:t>
      </w:r>
      <w:r>
        <w:rPr>
          <w:rFonts w:ascii="Palatino Linotype" w:hAnsi="Palatino Linotype" w:cs="Arial"/>
          <w:b/>
          <w:lang w:val="es-MX"/>
        </w:rPr>
        <w:t xml:space="preserve">SUJETO OBLIGADO; </w:t>
      </w:r>
      <w:r>
        <w:rPr>
          <w:rFonts w:ascii="Palatino Linotype" w:hAnsi="Palatino Linotype" w:cs="Arial"/>
          <w:lang w:val="es-MX"/>
        </w:rPr>
        <w:t>l</w:t>
      </w:r>
      <w:r w:rsidRPr="004565D6">
        <w:rPr>
          <w:rFonts w:ascii="Palatino Linotype" w:hAnsi="Palatino Linotype" w:cs="Arial"/>
          <w:lang w:val="es-MX"/>
        </w:rPr>
        <w:t>o anterior</w:t>
      </w:r>
      <w:r>
        <w:rPr>
          <w:rFonts w:ascii="Palatino Linotype" w:hAnsi="Palatino Linotype" w:cs="Arial"/>
          <w:lang w:val="es-MX"/>
        </w:rPr>
        <w:t>,</w:t>
      </w:r>
      <w:r w:rsidRPr="004565D6">
        <w:rPr>
          <w:rFonts w:ascii="Palatino Linotype" w:hAnsi="Palatino Linotype" w:cs="Arial"/>
          <w:lang w:val="es-MX"/>
        </w:rPr>
        <w:t xml:space="preserve"> obedece a que</w:t>
      </w:r>
      <w:r w:rsidR="00580DE2">
        <w:rPr>
          <w:rFonts w:ascii="Palatino Linotype" w:hAnsi="Palatino Linotype"/>
        </w:rPr>
        <w:t xml:space="preserve"> la Ley de Documentos Administrativos e Históricos del Estado de México establece </w:t>
      </w:r>
      <w:r w:rsidR="00EE6F7C">
        <w:rPr>
          <w:rFonts w:ascii="Palatino Linotype" w:hAnsi="Palatino Linotype"/>
        </w:rPr>
        <w:t xml:space="preserve">cuáles serán </w:t>
      </w:r>
      <w:r w:rsidR="00580DE2">
        <w:rPr>
          <w:rFonts w:ascii="Palatino Linotype" w:hAnsi="Palatino Linotype"/>
        </w:rPr>
        <w:t xml:space="preserve">los </w:t>
      </w:r>
      <w:r w:rsidR="00580DE2" w:rsidRPr="00AF2B86">
        <w:rPr>
          <w:rFonts w:ascii="Palatino Linotype" w:hAnsi="Palatino Linotype"/>
          <w:b/>
        </w:rPr>
        <w:t>sistemas de control y apoyo técnico para la clasificación, catalogación, conservación, reproducción, resguardo y depuración de los documentos con valor histórico</w:t>
      </w:r>
      <w:r w:rsidR="00580DE2">
        <w:rPr>
          <w:rFonts w:ascii="Palatino Linotype" w:hAnsi="Palatino Linotype"/>
        </w:rPr>
        <w:t>, con señalamiento de las áreas de fumigación, restauración y encuadernación, tal como se aprecia a continuación:</w:t>
      </w:r>
    </w:p>
    <w:p w:rsidR="00580DE2" w:rsidRPr="00580DE2" w:rsidRDefault="00580DE2" w:rsidP="00580DE2">
      <w:pPr>
        <w:pStyle w:val="Sinespaciado"/>
        <w:ind w:left="851" w:right="899"/>
        <w:jc w:val="both"/>
        <w:rPr>
          <w:rFonts w:ascii="Palatino Linotype" w:hAnsi="Palatino Linotype" w:cs="Arial"/>
          <w:i/>
          <w:sz w:val="22"/>
          <w:szCs w:val="22"/>
        </w:rPr>
      </w:pPr>
      <w:r>
        <w:rPr>
          <w:rFonts w:ascii="Palatino Linotype" w:hAnsi="Palatino Linotype" w:cs="Arial"/>
          <w:b/>
          <w:i/>
          <w:sz w:val="22"/>
          <w:szCs w:val="22"/>
        </w:rPr>
        <w:t>“</w:t>
      </w:r>
      <w:r w:rsidRPr="00580DE2">
        <w:rPr>
          <w:rFonts w:ascii="Palatino Linotype" w:hAnsi="Palatino Linotype" w:cs="Arial"/>
          <w:b/>
          <w:i/>
          <w:sz w:val="22"/>
          <w:szCs w:val="22"/>
        </w:rPr>
        <w:t>Artículo 8.-</w:t>
      </w:r>
      <w:r w:rsidRPr="00580DE2">
        <w:rPr>
          <w:rFonts w:ascii="Palatino Linotype" w:hAnsi="Palatino Linotype" w:cs="Arial"/>
          <w:i/>
          <w:sz w:val="22"/>
          <w:szCs w:val="22"/>
        </w:rPr>
        <w:t xml:space="preserve"> </w:t>
      </w:r>
      <w:r w:rsidRPr="00580DE2">
        <w:rPr>
          <w:rFonts w:ascii="Palatino Linotype" w:hAnsi="Palatino Linotype" w:cs="Arial"/>
          <w:b/>
          <w:i/>
          <w:sz w:val="22"/>
          <w:szCs w:val="22"/>
        </w:rPr>
        <w:t>Los documentos de contenido administrativo de importancia, serán conservados por 20 años,</w:t>
      </w:r>
      <w:r w:rsidRPr="00580DE2">
        <w:rPr>
          <w:rFonts w:ascii="Palatino Linotype" w:hAnsi="Palatino Linotype" w:cs="Arial"/>
          <w:i/>
          <w:sz w:val="22"/>
          <w:szCs w:val="22"/>
        </w:rPr>
        <w:t xml:space="preserve"> y si el documento se vincula con las funciones de 2 </w:t>
      </w:r>
      <w:proofErr w:type="spellStart"/>
      <w:r w:rsidRPr="00580DE2">
        <w:rPr>
          <w:rFonts w:ascii="Palatino Linotype" w:hAnsi="Palatino Linotype" w:cs="Arial"/>
          <w:i/>
          <w:sz w:val="22"/>
          <w:szCs w:val="22"/>
        </w:rPr>
        <w:t>ó</w:t>
      </w:r>
      <w:proofErr w:type="spellEnd"/>
      <w:r w:rsidRPr="00580DE2">
        <w:rPr>
          <w:rFonts w:ascii="Palatino Linotype" w:hAnsi="Palatino Linotype" w:cs="Arial"/>
          <w:i/>
          <w:sz w:val="22"/>
          <w:szCs w:val="22"/>
        </w:rPr>
        <w:t xml:space="preserve"> más sujetos públicos, deberá transmitirse la información correspondiente, para el efecto, del proceso o vaciado en otros documentos. </w:t>
      </w:r>
    </w:p>
    <w:p w:rsidR="00580DE2" w:rsidRDefault="00580DE2" w:rsidP="00580DE2">
      <w:pPr>
        <w:pStyle w:val="Sinespaciado"/>
        <w:ind w:left="851" w:right="899"/>
        <w:jc w:val="both"/>
        <w:rPr>
          <w:rFonts w:ascii="Palatino Linotype" w:hAnsi="Palatino Linotype" w:cs="Arial"/>
          <w:i/>
          <w:sz w:val="22"/>
          <w:szCs w:val="22"/>
        </w:rPr>
      </w:pPr>
      <w:r w:rsidRPr="00580DE2">
        <w:rPr>
          <w:rFonts w:ascii="Palatino Linotype" w:hAnsi="Palatino Linotype" w:cs="Arial"/>
          <w:b/>
          <w:i/>
          <w:sz w:val="22"/>
          <w:szCs w:val="22"/>
        </w:rPr>
        <w:t>Ningún documento podrá ser destruido, a menos, que, por escrito, lo determine la instancia facultada para ese efecto, en términos de la presente Ley</w:t>
      </w:r>
      <w:r>
        <w:rPr>
          <w:rFonts w:ascii="Palatino Linotype" w:hAnsi="Palatino Linotype" w:cs="Arial"/>
          <w:i/>
          <w:sz w:val="22"/>
          <w:szCs w:val="22"/>
        </w:rPr>
        <w:t>.”</w:t>
      </w:r>
    </w:p>
    <w:p w:rsidR="00580DE2" w:rsidRPr="00580DE2" w:rsidRDefault="00580DE2" w:rsidP="00580DE2">
      <w:pPr>
        <w:pStyle w:val="Sinespaciado"/>
        <w:ind w:left="851" w:right="899"/>
        <w:jc w:val="both"/>
        <w:rPr>
          <w:rFonts w:ascii="Palatino Linotype" w:hAnsi="Palatino Linotype" w:cs="Arial"/>
          <w:i/>
          <w:sz w:val="22"/>
          <w:szCs w:val="22"/>
        </w:rPr>
      </w:pPr>
      <w:r>
        <w:rPr>
          <w:rFonts w:ascii="Palatino Linotype" w:hAnsi="Palatino Linotype" w:cs="Arial"/>
          <w:i/>
          <w:sz w:val="22"/>
          <w:szCs w:val="22"/>
        </w:rPr>
        <w:t>(Énfasis añadido)</w:t>
      </w:r>
    </w:p>
    <w:p w:rsidR="00580DE2" w:rsidRDefault="00580DE2" w:rsidP="00580DE2">
      <w:pPr>
        <w:pStyle w:val="Prrafodelista"/>
        <w:tabs>
          <w:tab w:val="left" w:pos="851"/>
        </w:tabs>
        <w:spacing w:before="240" w:after="240" w:line="360" w:lineRule="auto"/>
        <w:ind w:left="0" w:right="49"/>
        <w:jc w:val="both"/>
        <w:rPr>
          <w:rFonts w:ascii="Palatino Linotype" w:hAnsi="Palatino Linotype" w:cs="Arial"/>
        </w:rPr>
      </w:pPr>
      <w:r w:rsidRPr="007B69B1">
        <w:rPr>
          <w:rFonts w:ascii="Palatino Linotype" w:hAnsi="Palatino Linotype" w:cs="Arial"/>
        </w:rPr>
        <w:t>Aunado a ello, la Ley de Transparencia y Acceso a la Información Pública del Estado de México y Municipios</w:t>
      </w:r>
      <w:r>
        <w:rPr>
          <w:rFonts w:ascii="Palatino Linotype" w:hAnsi="Palatino Linotype" w:cs="Arial"/>
        </w:rPr>
        <w:t>, en su</w:t>
      </w:r>
      <w:r w:rsidRPr="007B69B1">
        <w:rPr>
          <w:rFonts w:ascii="Palatino Linotype" w:hAnsi="Palatino Linotype" w:cs="Arial"/>
        </w:rPr>
        <w:t xml:space="preserve"> artículo 3, fracción XI, </w:t>
      </w:r>
      <w:r>
        <w:rPr>
          <w:rFonts w:ascii="Palatino Linotype" w:hAnsi="Palatino Linotype" w:cs="Arial"/>
        </w:rPr>
        <w:t>establece</w:t>
      </w:r>
      <w:r w:rsidRPr="007B69B1">
        <w:rPr>
          <w:rFonts w:ascii="Palatino Linotype" w:hAnsi="Palatino Linotype" w:cs="Arial"/>
        </w:rPr>
        <w:t xml:space="preserve"> de manera literal lo siguiente:</w:t>
      </w:r>
    </w:p>
    <w:p w:rsidR="00580DE2" w:rsidRPr="007B69B1" w:rsidRDefault="00580DE2" w:rsidP="00580DE2">
      <w:pPr>
        <w:ind w:left="851" w:right="899"/>
        <w:jc w:val="both"/>
        <w:rPr>
          <w:rFonts w:ascii="Palatino Linotype" w:hAnsi="Palatino Linotype" w:cs="Arial"/>
          <w:b/>
          <w:i/>
          <w:sz w:val="22"/>
          <w:szCs w:val="20"/>
        </w:rPr>
      </w:pPr>
      <w:r w:rsidRPr="007B69B1">
        <w:rPr>
          <w:rFonts w:ascii="Palatino Linotype" w:hAnsi="Palatino Linotype" w:cs="Arial"/>
          <w:b/>
          <w:i/>
          <w:sz w:val="22"/>
          <w:szCs w:val="20"/>
        </w:rPr>
        <w:t>Ley de Transparencia y Acceso a la Información Pública del Estado de México y Municipios</w:t>
      </w:r>
    </w:p>
    <w:p w:rsidR="00580DE2" w:rsidRPr="007B69B1" w:rsidRDefault="00580DE2" w:rsidP="00580DE2">
      <w:pPr>
        <w:ind w:left="851" w:right="899"/>
        <w:jc w:val="both"/>
        <w:rPr>
          <w:rFonts w:ascii="Palatino Linotype" w:hAnsi="Palatino Linotype" w:cs="Arial"/>
          <w:i/>
          <w:sz w:val="22"/>
          <w:szCs w:val="20"/>
        </w:rPr>
      </w:pPr>
      <w:r w:rsidRPr="007B69B1">
        <w:rPr>
          <w:rFonts w:ascii="Palatino Linotype" w:hAnsi="Palatino Linotype" w:cs="Arial"/>
          <w:b/>
          <w:i/>
          <w:sz w:val="22"/>
          <w:szCs w:val="20"/>
        </w:rPr>
        <w:t>Artículo 3.</w:t>
      </w:r>
      <w:r w:rsidRPr="007B69B1">
        <w:rPr>
          <w:rFonts w:ascii="Palatino Linotype" w:hAnsi="Palatino Linotype" w:cs="Arial"/>
          <w:i/>
          <w:sz w:val="22"/>
          <w:szCs w:val="20"/>
        </w:rPr>
        <w:t xml:space="preserve"> Para los efectos de la presente Ley se entenderá por:</w:t>
      </w:r>
    </w:p>
    <w:p w:rsidR="00580DE2" w:rsidRPr="007B69B1" w:rsidRDefault="00580DE2" w:rsidP="00580DE2">
      <w:pPr>
        <w:ind w:left="851" w:right="899"/>
        <w:jc w:val="both"/>
        <w:rPr>
          <w:rFonts w:ascii="Palatino Linotype" w:hAnsi="Palatino Linotype" w:cs="Arial"/>
          <w:i/>
          <w:sz w:val="22"/>
          <w:szCs w:val="20"/>
        </w:rPr>
      </w:pPr>
      <w:r w:rsidRPr="007B69B1">
        <w:rPr>
          <w:rFonts w:ascii="Palatino Linotype" w:hAnsi="Palatino Linotype" w:cs="Arial"/>
          <w:i/>
          <w:sz w:val="22"/>
          <w:szCs w:val="20"/>
        </w:rPr>
        <w:t>…</w:t>
      </w:r>
    </w:p>
    <w:p w:rsidR="00580DE2" w:rsidRPr="007B69B1" w:rsidRDefault="00580DE2" w:rsidP="00580DE2">
      <w:pPr>
        <w:ind w:left="851" w:right="899"/>
        <w:jc w:val="both"/>
        <w:rPr>
          <w:rFonts w:ascii="Palatino Linotype" w:hAnsi="Palatino Linotype" w:cs="Arial"/>
          <w:i/>
          <w:sz w:val="22"/>
          <w:szCs w:val="20"/>
        </w:rPr>
      </w:pPr>
      <w:r w:rsidRPr="007B69B1">
        <w:rPr>
          <w:rFonts w:ascii="Palatino Linotype" w:hAnsi="Palatino Linotype" w:cs="Arial"/>
          <w:b/>
          <w:i/>
          <w:sz w:val="22"/>
          <w:szCs w:val="20"/>
        </w:rPr>
        <w:t>XI.</w:t>
      </w:r>
      <w:r w:rsidRPr="007B69B1">
        <w:rPr>
          <w:rFonts w:ascii="Palatino Linotype" w:hAnsi="Palatino Linotype" w:cs="Arial"/>
          <w:i/>
          <w:sz w:val="22"/>
          <w:szCs w:val="20"/>
        </w:rPr>
        <w:t xml:space="preserve"> </w:t>
      </w:r>
      <w:r w:rsidRPr="007B69B1">
        <w:rPr>
          <w:rFonts w:ascii="Palatino Linotype" w:hAnsi="Palatino Linotype" w:cs="Arial"/>
          <w:b/>
          <w:i/>
          <w:sz w:val="22"/>
          <w:szCs w:val="20"/>
        </w:rPr>
        <w:t>Documento:</w:t>
      </w:r>
      <w:r w:rsidRPr="007B69B1">
        <w:rPr>
          <w:rFonts w:ascii="Palatino Linotype" w:hAnsi="Palatino Linotype" w:cs="Arial"/>
          <w:i/>
          <w:sz w:val="22"/>
          <w:szCs w:val="2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Pr>
          <w:rFonts w:ascii="Palatino Linotype" w:hAnsi="Palatino Linotype" w:cs="Arial"/>
          <w:i/>
          <w:sz w:val="22"/>
          <w:szCs w:val="20"/>
        </w:rPr>
        <w:t xml:space="preserve"> </w:t>
      </w:r>
      <w:r w:rsidRPr="007B69B1">
        <w:rPr>
          <w:rFonts w:ascii="Palatino Linotype" w:hAnsi="Palatino Linotype" w:cs="Arial"/>
          <w:i/>
          <w:sz w:val="22"/>
          <w:szCs w:val="20"/>
        </w:rPr>
        <w:t xml:space="preserve"> de los sujetos obligados, sus servidores públicos e integrantes, sin importar su fuente o fecha de</w:t>
      </w:r>
      <w:r>
        <w:rPr>
          <w:rFonts w:ascii="Palatino Linotype" w:hAnsi="Palatino Linotype" w:cs="Arial"/>
          <w:i/>
          <w:sz w:val="22"/>
          <w:szCs w:val="20"/>
        </w:rPr>
        <w:t xml:space="preserve"> </w:t>
      </w:r>
      <w:r w:rsidRPr="007B69B1">
        <w:rPr>
          <w:rFonts w:ascii="Palatino Linotype" w:hAnsi="Palatino Linotype" w:cs="Arial"/>
          <w:i/>
          <w:sz w:val="22"/>
          <w:szCs w:val="20"/>
        </w:rPr>
        <w:t>elaboración. Los documentos podrán estar en cualquier medio, sea escrito, impreso, sonoro, visual, electrónico, informático u holográfico;</w:t>
      </w:r>
    </w:p>
    <w:p w:rsidR="00A579D0" w:rsidRDefault="00A579D0" w:rsidP="00A579D0">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Por lo tanto, a criterio de la que suscribe lo procedente era señalar en resolutivos que para el caso de que una vez acreditada la búsqueda exhaustiva de parte del </w:t>
      </w:r>
      <w:r>
        <w:rPr>
          <w:rFonts w:ascii="Palatino Linotype" w:hAnsi="Palatino Linotype" w:cs="Arial"/>
          <w:b/>
        </w:rPr>
        <w:t xml:space="preserve">SUJETO OBLIGADO </w:t>
      </w:r>
      <w:r>
        <w:rPr>
          <w:rFonts w:ascii="Palatino Linotype" w:hAnsi="Palatino Linotype" w:cs="Arial"/>
        </w:rPr>
        <w:t xml:space="preserve">no se localizara </w:t>
      </w:r>
      <w:r w:rsidR="00580DE2">
        <w:rPr>
          <w:rFonts w:ascii="Palatino Linotype" w:hAnsi="Palatino Linotype" w:cs="Arial"/>
        </w:rPr>
        <w:t>la información de la que se ordena la entrega</w:t>
      </w:r>
      <w:r>
        <w:rPr>
          <w:rFonts w:ascii="Palatino Linotype" w:hAnsi="Palatino Linotype" w:cs="Arial"/>
        </w:rPr>
        <w:t>, debería emitir tanto la baja documental como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Pr>
          <w:rFonts w:ascii="Palatino Linotype" w:hAnsi="Palatino Linotype"/>
          <w:color w:val="222222"/>
        </w:rPr>
        <w:t>,</w:t>
      </w:r>
      <w:r>
        <w:rPr>
          <w:rFonts w:ascii="Palatino Linotype" w:hAnsi="Palatino Linotype" w:cs="Arial"/>
        </w:rPr>
        <w:t xml:space="preserve"> esto en razón de que existe fuente obligacional que lo constriñe a contar con la información.</w:t>
      </w:r>
    </w:p>
    <w:p w:rsidR="00A579D0" w:rsidRDefault="00A579D0" w:rsidP="00A579D0">
      <w:pPr>
        <w:spacing w:before="100" w:beforeAutospacing="1" w:after="100" w:afterAutospacing="1" w:line="360" w:lineRule="auto"/>
        <w:jc w:val="both"/>
        <w:rPr>
          <w:rFonts w:ascii="Palatino Linotype" w:hAnsi="Palatino Linotype" w:cs="Arial"/>
        </w:rPr>
      </w:pPr>
      <w:r>
        <w:rPr>
          <w:rFonts w:ascii="Palatino Linotype" w:hAnsi="Palatino Linotype" w:cs="Arial"/>
        </w:rPr>
        <w:t>Sirve de sustento a lo anterior, el Criterio orientador número 14/09 emitido por el entonces Instituto Federal de Acceso a la Información Pública (IFAI), ahora Instituto Nacional de Acceso a la Información Pública y Protección de Datos Personales (INAI), que a la letra señala:</w:t>
      </w:r>
    </w:p>
    <w:p w:rsidR="00A579D0" w:rsidRPr="00065724" w:rsidRDefault="00A579D0" w:rsidP="00A579D0">
      <w:pPr>
        <w:spacing w:before="74"/>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A579D0" w:rsidRPr="00065724" w:rsidRDefault="00A579D0" w:rsidP="00A579D0">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A579D0" w:rsidRPr="00065724" w:rsidRDefault="00A579D0" w:rsidP="00A579D0">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A579D0" w:rsidRPr="00065724" w:rsidRDefault="00A579D0" w:rsidP="00A579D0">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A579D0" w:rsidRPr="00065724" w:rsidRDefault="00A579D0" w:rsidP="00A579D0">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A579D0" w:rsidRPr="00065724" w:rsidRDefault="00A579D0" w:rsidP="00A579D0">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A579D0" w:rsidRPr="00065724" w:rsidRDefault="00A579D0" w:rsidP="00A579D0">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lastRenderedPageBreak/>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A579D0" w:rsidRPr="00065724" w:rsidRDefault="00A579D0" w:rsidP="00A579D0">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A579D0" w:rsidRPr="00065724" w:rsidRDefault="00A579D0" w:rsidP="00A579D0">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A579D0" w:rsidRPr="00065724" w:rsidRDefault="00A579D0" w:rsidP="00A579D0">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A579D0" w:rsidRDefault="00A579D0" w:rsidP="00A579D0">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Por lo que, la </w:t>
      </w:r>
      <w:r w:rsidRPr="00E14680">
        <w:rPr>
          <w:rFonts w:ascii="Palatino Linotype" w:hAnsi="Palatino Linotype" w:cs="Arial"/>
        </w:rPr>
        <w:t>suscri</w:t>
      </w:r>
      <w:r>
        <w:rPr>
          <w:rFonts w:ascii="Palatino Linotype" w:hAnsi="Palatino Linotype" w:cs="Arial"/>
        </w:rPr>
        <w:t>ta</w:t>
      </w:r>
      <w:r w:rsidRPr="00E14680">
        <w:rPr>
          <w:rFonts w:ascii="Palatino Linotype" w:hAnsi="Palatino Linotype" w:cs="Arial"/>
        </w:rPr>
        <w:t xml:space="preserve"> emite </w:t>
      </w:r>
      <w:r w:rsidRPr="00E14680">
        <w:rPr>
          <w:rFonts w:ascii="Palatino Linotype" w:hAnsi="Palatino Linotype" w:cs="Arial"/>
          <w:b/>
        </w:rPr>
        <w:t>VOTO PARTICULAR</w:t>
      </w:r>
      <w:r w:rsidRPr="00E14680">
        <w:rPr>
          <w:rFonts w:ascii="Palatino Linotype" w:hAnsi="Palatino Linotype" w:cs="Arial"/>
        </w:rPr>
        <w:t xml:space="preserve">, pues se insiste que existe fuente obligacional para que </w:t>
      </w:r>
      <w:r w:rsidRPr="00E14680">
        <w:rPr>
          <w:rFonts w:ascii="Palatino Linotype" w:hAnsi="Palatino Linotype" w:cs="Arial"/>
          <w:b/>
        </w:rPr>
        <w:t>EL SUJETO OBLIGADO</w:t>
      </w:r>
      <w:r>
        <w:rPr>
          <w:rFonts w:ascii="Palatino Linotype" w:hAnsi="Palatino Linotype" w:cs="Arial"/>
        </w:rPr>
        <w:t xml:space="preserve"> cuente con la información; por ello, lo procedente para el caso de que</w:t>
      </w:r>
      <w:r w:rsidR="00EE6F7C">
        <w:rPr>
          <w:rFonts w:ascii="Palatino Linotype" w:hAnsi="Palatino Linotype" w:cs="Arial"/>
        </w:rPr>
        <w:t xml:space="preserve"> la información </w:t>
      </w:r>
      <w:r w:rsidR="006E23B7">
        <w:rPr>
          <w:rFonts w:ascii="Palatino Linotype" w:hAnsi="Palatino Linotype" w:cs="Arial"/>
        </w:rPr>
        <w:t>no obrara en los</w:t>
      </w:r>
      <w:r>
        <w:rPr>
          <w:rFonts w:ascii="Palatino Linotype" w:hAnsi="Palatino Linotype" w:cs="Arial"/>
        </w:rPr>
        <w:t xml:space="preserve"> archivo</w:t>
      </w:r>
      <w:r w:rsidR="006E23B7">
        <w:rPr>
          <w:rFonts w:ascii="Palatino Linotype" w:hAnsi="Palatino Linotype" w:cs="Arial"/>
        </w:rPr>
        <w:t>s</w:t>
      </w:r>
      <w:r>
        <w:rPr>
          <w:rFonts w:ascii="Palatino Linotype" w:hAnsi="Palatino Linotype" w:cs="Arial"/>
        </w:rPr>
        <w:t xml:space="preserve"> del </w:t>
      </w:r>
      <w:r>
        <w:rPr>
          <w:rFonts w:ascii="Palatino Linotype" w:hAnsi="Palatino Linotype" w:cs="Arial"/>
          <w:b/>
        </w:rPr>
        <w:t xml:space="preserve">SUJETO OBLIGADO </w:t>
      </w:r>
      <w:r>
        <w:rPr>
          <w:rFonts w:ascii="Palatino Linotype" w:hAnsi="Palatino Linotype" w:cs="Arial"/>
        </w:rPr>
        <w:t>era</w:t>
      </w:r>
      <w:r w:rsidRPr="00E14680">
        <w:rPr>
          <w:rFonts w:ascii="Palatino Linotype" w:hAnsi="Palatino Linotype" w:cs="Arial"/>
        </w:rPr>
        <w:t xml:space="preserve"> emitir el Acuerdo de Inexistencia </w:t>
      </w:r>
      <w:r>
        <w:rPr>
          <w:rFonts w:ascii="Palatino Linotype" w:hAnsi="Palatino Linotype" w:cs="Arial"/>
        </w:rPr>
        <w:t>de la información solicitada</w:t>
      </w:r>
      <w:r w:rsidR="00EE6F7C">
        <w:rPr>
          <w:rFonts w:ascii="Palatino Linotype" w:hAnsi="Palatino Linotype" w:cs="Arial"/>
        </w:rPr>
        <w:t>,</w:t>
      </w:r>
      <w:r>
        <w:rPr>
          <w:rFonts w:ascii="Palatino Linotype" w:hAnsi="Palatino Linotype" w:cs="Arial"/>
        </w:rPr>
        <w:t xml:space="preserve"> mismo que</w:t>
      </w:r>
      <w:r w:rsidRPr="00E14680">
        <w:rPr>
          <w:rFonts w:ascii="Palatino Linotype" w:hAnsi="Palatino Linotype" w:cs="Arial"/>
        </w:rPr>
        <w:t xml:space="preserve"> </w:t>
      </w:r>
      <w:r>
        <w:rPr>
          <w:rFonts w:ascii="Palatino Linotype" w:hAnsi="Palatino Linotype" w:cs="Arial"/>
        </w:rPr>
        <w:t xml:space="preserve">debía </w:t>
      </w:r>
      <w:r w:rsidRPr="00E14680">
        <w:rPr>
          <w:rFonts w:ascii="Palatino Linotype" w:hAnsi="Palatino Linotype" w:cs="Arial"/>
        </w:rPr>
        <w:t>hacerlo del conocimiento de</w:t>
      </w:r>
      <w:r>
        <w:rPr>
          <w:rFonts w:ascii="Palatino Linotype" w:hAnsi="Palatino Linotype" w:cs="Arial"/>
        </w:rPr>
        <w:t>l hoy</w:t>
      </w:r>
      <w:r w:rsidRPr="00E14680">
        <w:rPr>
          <w:rFonts w:ascii="Palatino Linotype" w:hAnsi="Palatino Linotype" w:cs="Arial"/>
        </w:rPr>
        <w:t xml:space="preserve"> </w:t>
      </w:r>
      <w:r w:rsidRPr="00E14680">
        <w:rPr>
          <w:rFonts w:ascii="Palatino Linotype" w:hAnsi="Palatino Linotype" w:cs="Arial"/>
          <w:b/>
        </w:rPr>
        <w:t>RECURRENTE</w:t>
      </w:r>
      <w:r>
        <w:rPr>
          <w:rFonts w:ascii="Palatino Linotype" w:hAnsi="Palatino Linotype" w:cs="Arial"/>
        </w:rPr>
        <w:t>, así como el Acta de baja documental, al ser el soporte de dicho acuerdo otorgando certeza jurídica de la inexistencia de la información al solicitante.</w:t>
      </w:r>
    </w:p>
    <w:p w:rsidR="00A579D0" w:rsidRDefault="00A579D0" w:rsidP="00A579D0">
      <w:pPr>
        <w:spacing w:before="100" w:beforeAutospacing="1" w:after="100" w:afterAutospacing="1" w:line="360" w:lineRule="auto"/>
        <w:jc w:val="both"/>
        <w:rPr>
          <w:rFonts w:ascii="Palatino Linotype" w:hAnsi="Palatino Linotype" w:cs="Arial"/>
          <w:sz w:val="18"/>
          <w:szCs w:val="18"/>
        </w:rPr>
      </w:pPr>
    </w:p>
    <w:p w:rsidR="00A579D0" w:rsidRDefault="00A579D0" w:rsidP="00A579D0">
      <w:pPr>
        <w:spacing w:before="100" w:beforeAutospacing="1" w:after="100" w:afterAutospacing="1" w:line="360" w:lineRule="auto"/>
        <w:jc w:val="both"/>
        <w:rPr>
          <w:rFonts w:ascii="Palatino Linotype" w:hAnsi="Palatino Linotype" w:cs="Arial"/>
          <w:sz w:val="18"/>
          <w:szCs w:val="18"/>
        </w:rPr>
      </w:pPr>
    </w:p>
    <w:p w:rsidR="00A579D0" w:rsidRDefault="00A579D0" w:rsidP="00A579D0">
      <w:pPr>
        <w:spacing w:before="100" w:beforeAutospacing="1" w:after="100" w:afterAutospacing="1" w:line="360" w:lineRule="auto"/>
        <w:jc w:val="both"/>
        <w:rPr>
          <w:rFonts w:ascii="Palatino Linotype" w:hAnsi="Palatino Linotype" w:cs="Arial"/>
          <w:sz w:val="18"/>
          <w:szCs w:val="18"/>
        </w:rPr>
      </w:pPr>
    </w:p>
    <w:p w:rsidR="005C73BE" w:rsidRPr="0013465E" w:rsidRDefault="005C73BE" w:rsidP="00A579D0">
      <w:pPr>
        <w:spacing w:before="100" w:beforeAutospacing="1" w:after="100" w:afterAutospacing="1" w:line="360" w:lineRule="auto"/>
        <w:jc w:val="both"/>
        <w:rPr>
          <w:rFonts w:ascii="Palatino Linotype" w:hAnsi="Palatino Linotype" w:cs="Arial"/>
          <w:sz w:val="18"/>
          <w:szCs w:val="18"/>
        </w:rPr>
      </w:pPr>
    </w:p>
    <w:p w:rsidR="00A579D0" w:rsidRPr="00E14680" w:rsidRDefault="00A579D0" w:rsidP="00A579D0">
      <w:pPr>
        <w:jc w:val="center"/>
        <w:rPr>
          <w:rFonts w:ascii="Palatino Linotype" w:hAnsi="Palatino Linotype" w:cs="Arial"/>
          <w:b/>
        </w:rPr>
      </w:pPr>
      <w:r w:rsidRPr="00E14680">
        <w:rPr>
          <w:rFonts w:ascii="Palatino Linotype" w:hAnsi="Palatino Linotype" w:cs="Arial"/>
          <w:b/>
        </w:rPr>
        <w:t>EVA ABAID YAPUR</w:t>
      </w:r>
    </w:p>
    <w:p w:rsidR="00A579D0" w:rsidRDefault="00A579D0" w:rsidP="00A579D0">
      <w:pPr>
        <w:jc w:val="center"/>
        <w:rPr>
          <w:rFonts w:ascii="Palatino Linotype" w:hAnsi="Palatino Linotype" w:cs="Arial"/>
          <w:b/>
        </w:rPr>
      </w:pPr>
      <w:r w:rsidRPr="00E14680">
        <w:rPr>
          <w:rFonts w:ascii="Palatino Linotype" w:hAnsi="Palatino Linotype" w:cs="Arial"/>
          <w:b/>
        </w:rPr>
        <w:t>COMISIONADA</w:t>
      </w:r>
    </w:p>
    <w:p w:rsidR="00290AD4" w:rsidRDefault="00290AD4" w:rsidP="00290AD4">
      <w:pPr>
        <w:jc w:val="center"/>
        <w:rPr>
          <w:rFonts w:ascii="Palatino Linotype" w:hAnsi="Palatino Linotype" w:cs="Arial"/>
          <w:b/>
        </w:rPr>
      </w:pPr>
      <w:r>
        <w:rPr>
          <w:rFonts w:ascii="Palatino Linotype" w:hAnsi="Palatino Linotype" w:cs="Arial"/>
          <w:b/>
        </w:rPr>
        <w:t>(RÚBRICA)</w:t>
      </w:r>
    </w:p>
    <w:p w:rsidR="00290AD4" w:rsidRPr="00E14680" w:rsidRDefault="00290AD4" w:rsidP="00A579D0">
      <w:pPr>
        <w:jc w:val="center"/>
        <w:rPr>
          <w:rFonts w:ascii="Palatino Linotype" w:hAnsi="Palatino Linotype" w:cs="Arial"/>
          <w:b/>
        </w:rPr>
      </w:pPr>
    </w:p>
    <w:p w:rsidR="00A579D0" w:rsidRDefault="00A579D0" w:rsidP="00A579D0">
      <w:pPr>
        <w:jc w:val="both"/>
        <w:rPr>
          <w:rFonts w:ascii="Palatino Linotype" w:hAnsi="Palatino Linotype" w:cs="Arial"/>
          <w:sz w:val="18"/>
          <w:szCs w:val="18"/>
        </w:rPr>
      </w:pPr>
    </w:p>
    <w:p w:rsidR="006E23B7" w:rsidRDefault="006E23B7" w:rsidP="00A579D0">
      <w:pPr>
        <w:jc w:val="both"/>
        <w:rPr>
          <w:rFonts w:ascii="Palatino Linotype" w:hAnsi="Palatino Linotype" w:cs="Arial"/>
          <w:sz w:val="18"/>
          <w:szCs w:val="18"/>
        </w:rPr>
      </w:pPr>
    </w:p>
    <w:p w:rsidR="006E23B7" w:rsidRDefault="006E23B7" w:rsidP="00A579D0">
      <w:pPr>
        <w:jc w:val="both"/>
        <w:rPr>
          <w:rFonts w:ascii="Palatino Linotype" w:hAnsi="Palatino Linotype" w:cs="Arial"/>
          <w:sz w:val="18"/>
          <w:szCs w:val="18"/>
        </w:rPr>
      </w:pPr>
      <w:bookmarkStart w:id="0" w:name="_GoBack"/>
      <w:bookmarkEnd w:id="0"/>
    </w:p>
    <w:p w:rsidR="00A579D0" w:rsidRDefault="00A579D0" w:rsidP="00A579D0">
      <w:pPr>
        <w:jc w:val="both"/>
        <w:rPr>
          <w:rFonts w:ascii="Palatino Linotype" w:hAnsi="Palatino Linotype" w:cs="Arial"/>
          <w:sz w:val="20"/>
          <w:szCs w:val="18"/>
        </w:rPr>
      </w:pPr>
      <w:r w:rsidRPr="005C73BE">
        <w:rPr>
          <w:rFonts w:ascii="Palatino Linotype" w:hAnsi="Palatino Linotype" w:cs="Arial"/>
          <w:sz w:val="20"/>
          <w:szCs w:val="18"/>
        </w:rPr>
        <w:t xml:space="preserve">Esta hoja corresponde al voto particular emitido en </w:t>
      </w:r>
      <w:r w:rsidR="006E23B7" w:rsidRPr="005C73BE">
        <w:rPr>
          <w:rFonts w:ascii="Palatino Linotype" w:hAnsi="Palatino Linotype" w:cs="Arial"/>
          <w:sz w:val="20"/>
          <w:szCs w:val="18"/>
        </w:rPr>
        <w:t>la resolución de los</w:t>
      </w:r>
      <w:r w:rsidRPr="005C73BE">
        <w:rPr>
          <w:rFonts w:ascii="Palatino Linotype" w:hAnsi="Palatino Linotype" w:cs="Arial"/>
          <w:sz w:val="20"/>
          <w:szCs w:val="18"/>
        </w:rPr>
        <w:t xml:space="preserve"> recurso</w:t>
      </w:r>
      <w:r w:rsidR="006E23B7" w:rsidRPr="005C73BE">
        <w:rPr>
          <w:rFonts w:ascii="Palatino Linotype" w:hAnsi="Palatino Linotype" w:cs="Arial"/>
          <w:sz w:val="20"/>
          <w:szCs w:val="18"/>
        </w:rPr>
        <w:t>s</w:t>
      </w:r>
      <w:r w:rsidRPr="005C73BE">
        <w:rPr>
          <w:rFonts w:ascii="Palatino Linotype" w:hAnsi="Palatino Linotype" w:cs="Arial"/>
          <w:sz w:val="20"/>
          <w:szCs w:val="18"/>
        </w:rPr>
        <w:t xml:space="preserve"> de revisión 0</w:t>
      </w:r>
      <w:r w:rsidR="006E23B7" w:rsidRPr="005C73BE">
        <w:rPr>
          <w:rFonts w:ascii="Palatino Linotype" w:hAnsi="Palatino Linotype" w:cs="Arial"/>
          <w:sz w:val="20"/>
          <w:szCs w:val="18"/>
        </w:rPr>
        <w:t>3303</w:t>
      </w:r>
      <w:r w:rsidRPr="005C73BE">
        <w:rPr>
          <w:rFonts w:ascii="Palatino Linotype" w:hAnsi="Palatino Linotype" w:cs="Arial"/>
          <w:sz w:val="20"/>
          <w:szCs w:val="18"/>
        </w:rPr>
        <w:t xml:space="preserve">/INFOEM/IP/RR/2018 </w:t>
      </w:r>
      <w:r w:rsidR="006E23B7" w:rsidRPr="005C73BE">
        <w:rPr>
          <w:rFonts w:ascii="Palatino Linotype" w:hAnsi="Palatino Linotype" w:cs="Arial"/>
          <w:sz w:val="20"/>
          <w:szCs w:val="18"/>
        </w:rPr>
        <w:t xml:space="preserve">y acumulados </w:t>
      </w:r>
      <w:r w:rsidRPr="005C73BE">
        <w:rPr>
          <w:rFonts w:ascii="Palatino Linotype" w:hAnsi="Palatino Linotype" w:cs="Arial"/>
          <w:sz w:val="20"/>
          <w:szCs w:val="18"/>
        </w:rPr>
        <w:t>aprobad</w:t>
      </w:r>
      <w:r w:rsidR="005C73BE">
        <w:rPr>
          <w:rFonts w:ascii="Palatino Linotype" w:hAnsi="Palatino Linotype" w:cs="Arial"/>
          <w:sz w:val="20"/>
          <w:szCs w:val="18"/>
        </w:rPr>
        <w:t>o</w:t>
      </w:r>
      <w:r w:rsidRPr="005C73BE">
        <w:rPr>
          <w:rFonts w:ascii="Palatino Linotype" w:hAnsi="Palatino Linotype" w:cs="Arial"/>
          <w:sz w:val="20"/>
          <w:szCs w:val="18"/>
        </w:rPr>
        <w:t xml:space="preserve"> el </w:t>
      </w:r>
      <w:r w:rsidR="006E23B7" w:rsidRPr="005C73BE">
        <w:rPr>
          <w:rFonts w:ascii="Palatino Linotype" w:hAnsi="Palatino Linotype" w:cs="Arial"/>
          <w:sz w:val="20"/>
          <w:szCs w:val="18"/>
        </w:rPr>
        <w:t xml:space="preserve">treinta y uno de octubre de </w:t>
      </w:r>
      <w:r w:rsidRPr="005C73BE">
        <w:rPr>
          <w:rFonts w:ascii="Palatino Linotype" w:hAnsi="Palatino Linotype" w:cs="Arial"/>
          <w:sz w:val="20"/>
          <w:szCs w:val="18"/>
        </w:rPr>
        <w:t>dos mil dieciocho.</w:t>
      </w:r>
    </w:p>
    <w:p w:rsidR="005C73BE" w:rsidRPr="005C73BE" w:rsidRDefault="005C73BE" w:rsidP="00A579D0">
      <w:pPr>
        <w:jc w:val="both"/>
        <w:rPr>
          <w:rFonts w:ascii="Palatino Linotype" w:hAnsi="Palatino Linotype" w:cs="Arial"/>
          <w:sz w:val="6"/>
          <w:szCs w:val="18"/>
        </w:rPr>
      </w:pPr>
    </w:p>
    <w:p w:rsidR="00C23B43" w:rsidRPr="005C73BE" w:rsidRDefault="00A579D0" w:rsidP="006E23B7">
      <w:pPr>
        <w:jc w:val="both"/>
        <w:rPr>
          <w:sz w:val="28"/>
        </w:rPr>
      </w:pPr>
      <w:r w:rsidRPr="005C73BE">
        <w:rPr>
          <w:rFonts w:ascii="Palatino Linotype" w:hAnsi="Palatino Linotype" w:cs="Arial"/>
          <w:sz w:val="20"/>
          <w:szCs w:val="18"/>
        </w:rPr>
        <w:t>YSM/AMV</w:t>
      </w:r>
    </w:p>
    <w:sectPr w:rsidR="00C23B43" w:rsidRPr="005C73BE" w:rsidSect="005A28C0">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11D" w:rsidRDefault="00EF011D" w:rsidP="00A579D0">
      <w:r>
        <w:separator/>
      </w:r>
    </w:p>
  </w:endnote>
  <w:endnote w:type="continuationSeparator" w:id="0">
    <w:p w:rsidR="00EF011D" w:rsidRDefault="00EF011D" w:rsidP="00A5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90AD4" w:rsidP="00DC5C4E">
    <w:pPr>
      <w:pStyle w:val="Piedepgina"/>
      <w:tabs>
        <w:tab w:val="clear" w:pos="4252"/>
        <w:tab w:val="left" w:pos="4228"/>
      </w:tabs>
      <w:rPr>
        <w:rFonts w:ascii="Palatino Linotype" w:hAnsi="Palatino Linotype" w:cs="Arial"/>
        <w:b/>
        <w:bCs/>
        <w:sz w:val="20"/>
        <w:szCs w:val="20"/>
      </w:rPr>
    </w:pPr>
  </w:p>
  <w:p w:rsidR="00A579D0" w:rsidRDefault="00A579D0" w:rsidP="00DC5C4E">
    <w:pPr>
      <w:pStyle w:val="Piedepgina"/>
      <w:tabs>
        <w:tab w:val="clear" w:pos="4252"/>
        <w:tab w:val="left" w:pos="4228"/>
      </w:tabs>
      <w:rPr>
        <w:rFonts w:ascii="Palatino Linotype" w:hAnsi="Palatino Linotype" w:cs="Arial"/>
        <w:b/>
        <w:bCs/>
        <w:sz w:val="20"/>
        <w:szCs w:val="20"/>
      </w:rPr>
    </w:pPr>
  </w:p>
  <w:p w:rsidR="005C7C8F" w:rsidRDefault="00290AD4" w:rsidP="00DC5C4E">
    <w:pPr>
      <w:pStyle w:val="Piedepgina"/>
      <w:tabs>
        <w:tab w:val="clear" w:pos="4252"/>
        <w:tab w:val="left" w:pos="4228"/>
      </w:tabs>
      <w:rPr>
        <w:rFonts w:ascii="Palatino Linotype" w:hAnsi="Palatino Linotype" w:cs="Arial"/>
        <w:b/>
        <w:bCs/>
        <w:sz w:val="20"/>
        <w:szCs w:val="20"/>
      </w:rPr>
    </w:pPr>
  </w:p>
  <w:p w:rsidR="005C7C8F" w:rsidRDefault="00290AD4" w:rsidP="00DC5C4E">
    <w:pPr>
      <w:pStyle w:val="Piedepgina"/>
      <w:tabs>
        <w:tab w:val="clear" w:pos="4252"/>
        <w:tab w:val="left" w:pos="4228"/>
      </w:tabs>
      <w:rPr>
        <w:rFonts w:ascii="Palatino Linotype" w:hAnsi="Palatino Linotype" w:cs="Arial"/>
        <w:b/>
        <w:bCs/>
        <w:sz w:val="20"/>
        <w:szCs w:val="20"/>
      </w:rPr>
    </w:pPr>
  </w:p>
  <w:p w:rsidR="005C7C8F" w:rsidRDefault="00290AD4" w:rsidP="00DC5C4E">
    <w:pPr>
      <w:pStyle w:val="Piedepgina"/>
      <w:rPr>
        <w:rFonts w:ascii="Palatino Linotype" w:hAnsi="Palatino Linotype" w:cs="Arial"/>
        <w:b/>
        <w:bCs/>
        <w:sz w:val="20"/>
        <w:szCs w:val="20"/>
      </w:rPr>
    </w:pPr>
  </w:p>
  <w:p w:rsidR="005C7C8F" w:rsidRPr="00F12350" w:rsidRDefault="00F152DB"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90AD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90AD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290AD4"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11D" w:rsidRDefault="00EF011D" w:rsidP="00A579D0">
      <w:r>
        <w:separator/>
      </w:r>
    </w:p>
  </w:footnote>
  <w:footnote w:type="continuationSeparator" w:id="0">
    <w:p w:rsidR="00EF011D" w:rsidRDefault="00EF011D" w:rsidP="00A57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90AD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7C" w:rsidRDefault="00EE6F7C"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0FAE9BE" wp14:editId="04E5DF84">
          <wp:simplePos x="0" y="0"/>
          <wp:positionH relativeFrom="column">
            <wp:posOffset>-702310</wp:posOffset>
          </wp:positionH>
          <wp:positionV relativeFrom="paragraph">
            <wp:posOffset>-452854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F152DB"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EE6F7C" w:rsidRDefault="00F152DB" w:rsidP="002C4427">
    <w:pPr>
      <w:pStyle w:val="Encabezado"/>
      <w:tabs>
        <w:tab w:val="clear" w:pos="4252"/>
        <w:tab w:val="clear" w:pos="8504"/>
        <w:tab w:val="left" w:pos="2326"/>
      </w:tabs>
      <w:ind w:left="2832"/>
      <w:jc w:val="right"/>
      <w:rPr>
        <w:rFonts w:ascii="Palatino Linotype" w:hAnsi="Palatino Linotype" w:cs="Arial"/>
        <w:sz w:val="20"/>
        <w:szCs w:val="20"/>
      </w:rPr>
    </w:pPr>
    <w:r w:rsidRPr="00706042">
      <w:rPr>
        <w:rFonts w:ascii="Palatino Linotype" w:hAnsi="Palatino Linotype" w:cs="Arial"/>
        <w:sz w:val="20"/>
        <w:szCs w:val="20"/>
      </w:rPr>
      <w:t>RECURSO</w:t>
    </w:r>
    <w:r w:rsidR="00A579D0">
      <w:rPr>
        <w:rFonts w:ascii="Palatino Linotype" w:hAnsi="Palatino Linotype" w:cs="Arial"/>
        <w:sz w:val="20"/>
        <w:szCs w:val="20"/>
      </w:rPr>
      <w:t>S</w:t>
    </w:r>
    <w:r w:rsidR="00EE6F7C">
      <w:rPr>
        <w:rFonts w:ascii="Palatino Linotype" w:hAnsi="Palatino Linotype" w:cs="Arial"/>
        <w:sz w:val="20"/>
        <w:szCs w:val="20"/>
      </w:rPr>
      <w:t xml:space="preserve"> DE REVISIÓN</w:t>
    </w:r>
  </w:p>
  <w:p w:rsidR="002C4427" w:rsidRDefault="00F152DB" w:rsidP="002C4427">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0</w:t>
    </w:r>
    <w:r w:rsidR="00A579D0">
      <w:rPr>
        <w:rFonts w:ascii="Palatino Linotype" w:hAnsi="Palatino Linotype" w:cs="Arial"/>
        <w:sz w:val="20"/>
        <w:szCs w:val="20"/>
      </w:rPr>
      <w:t>3303</w:t>
    </w:r>
    <w:r w:rsidRPr="005A28C0">
      <w:rPr>
        <w:rFonts w:ascii="Palatino Linotype" w:hAnsi="Palatino Linotype" w:cs="Arial"/>
        <w:sz w:val="20"/>
        <w:szCs w:val="20"/>
      </w:rPr>
      <w:t>/INFOEM/IP/RR/201</w:t>
    </w:r>
    <w:r>
      <w:rPr>
        <w:rFonts w:ascii="Palatino Linotype" w:hAnsi="Palatino Linotype" w:cs="Arial"/>
        <w:sz w:val="20"/>
        <w:szCs w:val="20"/>
      </w:rPr>
      <w:t>8</w:t>
    </w:r>
    <w:r w:rsidR="00A579D0">
      <w:rPr>
        <w:rFonts w:ascii="Palatino Linotype" w:hAnsi="Palatino Linotype" w:cs="Arial"/>
        <w:sz w:val="20"/>
        <w:szCs w:val="20"/>
      </w:rPr>
      <w:t xml:space="preserve"> Y ACUMULADOS</w:t>
    </w:r>
  </w:p>
  <w:p w:rsidR="005A28C0" w:rsidRDefault="00290AD4"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4.3pt;height:78.7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90AD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1495"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0FE4BDA"/>
    <w:multiLevelType w:val="hybridMultilevel"/>
    <w:tmpl w:val="70284C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D0"/>
    <w:rsid w:val="00165B9C"/>
    <w:rsid w:val="00290AD4"/>
    <w:rsid w:val="00580DE2"/>
    <w:rsid w:val="005C73BE"/>
    <w:rsid w:val="006E23B7"/>
    <w:rsid w:val="00A579D0"/>
    <w:rsid w:val="00BB771D"/>
    <w:rsid w:val="00C23B43"/>
    <w:rsid w:val="00C9714C"/>
    <w:rsid w:val="00EE6F7C"/>
    <w:rsid w:val="00EF011D"/>
    <w:rsid w:val="00F152DB"/>
    <w:rsid w:val="00F162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6A79543-E1B8-49E4-8458-99DB02F1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9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79D0"/>
    <w:rPr>
      <w:rFonts w:eastAsiaTheme="minorEastAsia"/>
      <w:sz w:val="24"/>
      <w:szCs w:val="24"/>
      <w:lang w:val="es-ES_tradnl" w:eastAsia="es-ES"/>
    </w:rPr>
  </w:style>
  <w:style w:type="paragraph" w:styleId="Piedepgina">
    <w:name w:val="footer"/>
    <w:basedOn w:val="Normal"/>
    <w:link w:val="PiedepginaCar"/>
    <w:uiPriority w:val="99"/>
    <w:unhideWhenUsed/>
    <w:rsid w:val="00A579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79D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79D0"/>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79D0"/>
    <w:rPr>
      <w:rFonts w:eastAsiaTheme="minorEastAsia"/>
      <w:sz w:val="24"/>
      <w:szCs w:val="24"/>
      <w:lang w:val="es-ES_tradnl" w:eastAsia="es-ES"/>
    </w:rPr>
  </w:style>
  <w:style w:type="paragraph" w:styleId="Sinespaciado">
    <w:name w:val="No Spacing"/>
    <w:aliases w:val="Francesa"/>
    <w:link w:val="SinespaciadoCar"/>
    <w:uiPriority w:val="1"/>
    <w:qFormat/>
    <w:rsid w:val="00A579D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A579D0"/>
    <w:rPr>
      <w:rFonts w:eastAsiaTheme="minorEastAsia"/>
      <w:sz w:val="24"/>
      <w:szCs w:val="24"/>
      <w:lang w:val="es-ES_tradnl" w:eastAsia="es-ES"/>
    </w:rPr>
  </w:style>
  <w:style w:type="character" w:styleId="Hipervnculo">
    <w:name w:val="Hyperlink"/>
    <w:basedOn w:val="Fuentedeprrafopredeter"/>
    <w:uiPriority w:val="99"/>
    <w:unhideWhenUsed/>
    <w:rsid w:val="00165B9C"/>
    <w:rPr>
      <w:color w:val="0563C1" w:themeColor="hyperlink"/>
      <w:u w:val="single"/>
    </w:rPr>
  </w:style>
  <w:style w:type="character" w:customStyle="1" w:styleId="apple-converted-space">
    <w:name w:val="apple-converted-space"/>
    <w:basedOn w:val="Fuentedeprrafopredeter"/>
    <w:rsid w:val="00165B9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80DE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80DE2"/>
    <w:rPr>
      <w:rFonts w:asciiTheme="minorHAnsi" w:eastAsiaTheme="minorEastAsia" w:hAnsiTheme="minorHAnsi" w:cstheme="minorBidi"/>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80DE2"/>
    <w:rPr>
      <w:rFonts w:eastAsiaTheme="minorEastAsia"/>
      <w:sz w:val="20"/>
      <w:szCs w:val="20"/>
      <w:lang w:val="es-ES_tradnl" w:eastAsia="es-ES"/>
    </w:rPr>
  </w:style>
  <w:style w:type="paragraph" w:styleId="Textodeglobo">
    <w:name w:val="Balloon Text"/>
    <w:basedOn w:val="Normal"/>
    <w:link w:val="TextodegloboCar"/>
    <w:uiPriority w:val="99"/>
    <w:semiHidden/>
    <w:unhideWhenUsed/>
    <w:rsid w:val="006E23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23B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vt.dippye@upvt.edu.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fpya.edomexico.gob.mx/recaudac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1512</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2018-11-06T02:56:00Z</cp:lastPrinted>
  <dcterms:created xsi:type="dcterms:W3CDTF">2018-11-05T17:49:00Z</dcterms:created>
  <dcterms:modified xsi:type="dcterms:W3CDTF">2018-11-21T23:35:00Z</dcterms:modified>
</cp:coreProperties>
</file>